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C0" w:rsidRDefault="00B178C0" w:rsidP="00A10250">
      <w:pPr>
        <w:spacing w:line="360" w:lineRule="auto"/>
        <w:jc w:val="center"/>
        <w:rPr>
          <w:rFonts w:ascii="Times New Roman" w:hAnsi="Times New Roman" w:cs="Times New Roman"/>
          <w:b/>
        </w:rPr>
      </w:pPr>
      <w:bookmarkStart w:id="0" w:name="_GoBack"/>
      <w:bookmarkEnd w:id="0"/>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rsid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организациями дополнительного образования;</w:t>
      </w:r>
    </w:p>
    <w:p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rsid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Втягивание ребенка в асоциальную деятельность (группы смерти, группы с рекламой наркотиков и т.д);</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Прочтение детьми информации, вредящей их мировоззрению и психотическому состоянию.</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содержащая бранные слова и выражения, не относящиеся к нецензурной брани.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Мошеннические сайты: сайты, навязывающие платные услуги на базе CMC-платежей, сайты, обманным путем собирающие личную информацию (фишинг);</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повышение уровня медиаграмотности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детей как независимых, ответственных и самостоятельно мыслящих личностей с целью изживания социального иждивенчества.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Соответствующие метапредметные результаты и предметные умения отражены в дисциплине «Информатика»:</w:t>
      </w:r>
    </w:p>
    <w:p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должны отражать:</w:t>
      </w:r>
    </w:p>
    <w:p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освоение знаний, составляющих основу научных представлений об информации, информационных процессах, системах, технологиях и моделях;</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tblPr>
      <w:tblGrid>
        <w:gridCol w:w="3113"/>
        <w:gridCol w:w="3113"/>
        <w:gridCol w:w="3113"/>
      </w:tblGrid>
      <w:tr w:rsidR="00B178C0" w:rsidTr="00B178C0">
        <w:tc>
          <w:tcPr>
            <w:tcW w:w="3113" w:type="dxa"/>
          </w:tcPr>
          <w:p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rsidTr="00B178C0">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rsidTr="00B178C0">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rsidTr="00B178C0">
        <w:tc>
          <w:tcPr>
            <w:tcW w:w="3113" w:type="dxa"/>
            <w:vMerge/>
          </w:tcPr>
          <w:p w:rsidR="005D000F" w:rsidRPr="00B178C0" w:rsidRDefault="005D000F" w:rsidP="00B178C0">
            <w:pPr>
              <w:rPr>
                <w:rFonts w:ascii="Times New Roman" w:hAnsi="Times New Roman" w:cs="Times New Roman"/>
                <w:sz w:val="22"/>
                <w:szCs w:val="22"/>
              </w:rPr>
            </w:pP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rsidR="005D000F" w:rsidRPr="00B178C0" w:rsidRDefault="005D000F" w:rsidP="00B178C0">
            <w:pPr>
              <w:rPr>
                <w:rFonts w:ascii="Times New Roman" w:hAnsi="Times New Roman" w:cs="Times New Roman"/>
                <w:sz w:val="22"/>
                <w:szCs w:val="22"/>
              </w:rPr>
            </w:pPr>
          </w:p>
        </w:tc>
      </w:tr>
      <w:tr w:rsidR="005D000F" w:rsidTr="00B178C0">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обществоведение, естественнонаучные дисциплины, языки.</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rsidTr="00B178C0">
        <w:tc>
          <w:tcPr>
            <w:tcW w:w="3113" w:type="dxa"/>
            <w:vMerge/>
          </w:tcPr>
          <w:p w:rsidR="005D000F" w:rsidRPr="00B178C0" w:rsidRDefault="005D000F" w:rsidP="00B178C0">
            <w:pPr>
              <w:rPr>
                <w:rFonts w:ascii="Times New Roman" w:hAnsi="Times New Roman" w:cs="Times New Roman"/>
                <w:sz w:val="22"/>
                <w:szCs w:val="22"/>
              </w:rPr>
            </w:pP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rsidR="005D000F" w:rsidRPr="00B178C0" w:rsidRDefault="005D000F" w:rsidP="00B178C0">
            <w:pPr>
              <w:rPr>
                <w:rFonts w:ascii="Times New Roman" w:hAnsi="Times New Roman" w:cs="Times New Roman"/>
                <w:sz w:val="22"/>
                <w:szCs w:val="22"/>
              </w:rPr>
            </w:pPr>
          </w:p>
        </w:tc>
      </w:tr>
      <w:tr w:rsidR="00B178C0" w:rsidTr="00B178C0">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rsidR="00B178C0" w:rsidRP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tblPr>
      <w:tblGrid>
        <w:gridCol w:w="4669"/>
        <w:gridCol w:w="4669"/>
      </w:tblGrid>
      <w:tr w:rsidR="005D000F" w:rsidTr="005D000F">
        <w:trPr>
          <w:trHeight w:val="267"/>
        </w:trPr>
        <w:tc>
          <w:tcPr>
            <w:tcW w:w="4669" w:type="dxa"/>
          </w:tcPr>
          <w:p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rsidTr="005D000F">
        <w:tc>
          <w:tcPr>
            <w:tcW w:w="4669" w:type="dxa"/>
            <w:vMerge w:val="restart"/>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rsidTr="005D000F">
        <w:tc>
          <w:tcPr>
            <w:tcW w:w="4669" w:type="dxa"/>
            <w:vMerge/>
          </w:tcPr>
          <w:p w:rsidR="005D000F" w:rsidRPr="005D000F" w:rsidRDefault="005D000F" w:rsidP="00D337C2">
            <w:pPr>
              <w:rPr>
                <w:rFonts w:ascii="Times New Roman" w:hAnsi="Times New Roman" w:cs="Times New Roman"/>
                <w:sz w:val="22"/>
                <w:szCs w:val="22"/>
              </w:rPr>
            </w:pP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rsidTr="005D000F">
        <w:tc>
          <w:tcPr>
            <w:tcW w:w="4669" w:type="dxa"/>
            <w:vMerge/>
          </w:tcPr>
          <w:p w:rsidR="005D000F" w:rsidRPr="005D000F" w:rsidRDefault="005D000F" w:rsidP="00D337C2">
            <w:pPr>
              <w:rPr>
                <w:rFonts w:ascii="Times New Roman" w:hAnsi="Times New Roman" w:cs="Times New Roman"/>
                <w:sz w:val="22"/>
                <w:szCs w:val="22"/>
              </w:rPr>
            </w:pP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rsidTr="005D000F">
        <w:tc>
          <w:tcPr>
            <w:tcW w:w="4669" w:type="dxa"/>
            <w:vMerge/>
          </w:tcPr>
          <w:p w:rsidR="005D000F" w:rsidRPr="005D000F" w:rsidRDefault="005D000F" w:rsidP="00D337C2">
            <w:pPr>
              <w:rPr>
                <w:rFonts w:ascii="Times New Roman" w:hAnsi="Times New Roman" w:cs="Times New Roman"/>
                <w:sz w:val="22"/>
                <w:szCs w:val="22"/>
              </w:rPr>
            </w:pP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rsidR="005D000F" w:rsidRDefault="005D000F" w:rsidP="00B178C0">
      <w:pPr>
        <w:spacing w:line="360" w:lineRule="auto"/>
        <w:ind w:firstLine="709"/>
        <w:jc w:val="both"/>
        <w:outlineLvl w:val="0"/>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ориентации в информационном пространстве, работы с распространенными автоматизированными информационными системами;</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tblPr>
      <w:tblGrid>
        <w:gridCol w:w="4669"/>
        <w:gridCol w:w="4669"/>
      </w:tblGrid>
      <w:tr w:rsidR="005D000F" w:rsidRPr="005D000F" w:rsidTr="005D000F">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использовать безопасные для органов зрения, нервной системы, опорно</w:t>
            </w:r>
            <w:r w:rsidRPr="005D000F">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rsidR="005D000F" w:rsidRPr="00B178C0" w:rsidRDefault="005D000F"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tblPr>
      <w:tblGrid>
        <w:gridCol w:w="4669"/>
        <w:gridCol w:w="4669"/>
      </w:tblGrid>
      <w:tr w:rsidR="005D000F" w:rsidTr="005D000F">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rsidR="00B178C0" w:rsidRDefault="00B178C0" w:rsidP="005D000F">
      <w:pPr>
        <w:spacing w:line="360" w:lineRule="auto"/>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tblPr>
      <w:tblGrid>
        <w:gridCol w:w="4669"/>
        <w:gridCol w:w="4669"/>
      </w:tblGrid>
      <w:tr w:rsidR="005D000F" w:rsidTr="005D000F">
        <w:tc>
          <w:tcPr>
            <w:tcW w:w="4669" w:type="dxa"/>
          </w:tcPr>
          <w:p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5D000F" w:rsidTr="005D000F">
        <w:tc>
          <w:tcPr>
            <w:tcW w:w="4669" w:type="dxa"/>
          </w:tcPr>
          <w:p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Необходимые знания</w:t>
            </w:r>
          </w:p>
        </w:tc>
        <w:tc>
          <w:tcPr>
            <w:tcW w:w="4669" w:type="dxa"/>
          </w:tcPr>
          <w:p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rsidR="005D000F" w:rsidRDefault="005D000F" w:rsidP="00B178C0">
      <w:pPr>
        <w:spacing w:line="360" w:lineRule="auto"/>
        <w:ind w:firstLine="709"/>
        <w:jc w:val="both"/>
        <w:rPr>
          <w:rFonts w:ascii="Times New Roman" w:hAnsi="Times New Roman" w:cs="Times New Roman"/>
        </w:rPr>
      </w:pPr>
    </w:p>
    <w:p w:rsidR="007F2FC4" w:rsidRDefault="007F2FC4" w:rsidP="00B178C0">
      <w:pPr>
        <w:spacing w:line="360" w:lineRule="auto"/>
        <w:ind w:firstLine="709"/>
        <w:jc w:val="both"/>
        <w:rPr>
          <w:rFonts w:ascii="Times New Roman" w:hAnsi="Times New Roman" w:cs="Times New Roman"/>
        </w:rPr>
      </w:pPr>
    </w:p>
    <w:p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rsidR="00B178C0" w:rsidRDefault="007F2FC4" w:rsidP="00B178C0">
      <w:pPr>
        <w:spacing w:line="360" w:lineRule="auto"/>
        <w:ind w:firstLine="709"/>
        <w:jc w:val="both"/>
        <w:rPr>
          <w:rFonts w:ascii="Times New Roman" w:hAnsi="Times New Roman" w:cs="Times New Roman"/>
        </w:rPr>
      </w:pP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rsidR="007F2FC4" w:rsidRDefault="007F2FC4" w:rsidP="00B178C0">
      <w:pPr>
        <w:spacing w:line="360" w:lineRule="auto"/>
        <w:ind w:firstLine="709"/>
        <w:jc w:val="both"/>
        <w:rPr>
          <w:rFonts w:ascii="Times New Roman" w:hAnsi="Times New Roman" w:cs="Times New Roman"/>
        </w:rPr>
      </w:pPr>
    </w:p>
    <w:p w:rsidR="007F2FC4" w:rsidRDefault="007F2FC4" w:rsidP="00B178C0">
      <w:pPr>
        <w:spacing w:line="360" w:lineRule="auto"/>
        <w:ind w:firstLine="709"/>
        <w:jc w:val="both"/>
        <w:rPr>
          <w:rFonts w:ascii="Times New Roman" w:hAnsi="Times New Roman" w:cs="Times New Roman"/>
        </w:rPr>
      </w:pPr>
    </w:p>
    <w:p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rsidR="005D000F" w:rsidRDefault="005D000F" w:rsidP="00B178C0">
      <w:pPr>
        <w:spacing w:line="360" w:lineRule="auto"/>
        <w:ind w:firstLine="709"/>
        <w:jc w:val="both"/>
        <w:outlineLvl w:val="0"/>
        <w:rPr>
          <w:rFonts w:ascii="Times New Roman" w:hAnsi="Times New Roman" w:cs="Times New Roman"/>
        </w:rPr>
      </w:pPr>
    </w:p>
    <w:p w:rsidR="00D31C33" w:rsidRDefault="00D31C33" w:rsidP="00B178C0">
      <w:pPr>
        <w:spacing w:line="360" w:lineRule="auto"/>
        <w:ind w:firstLine="709"/>
        <w:jc w:val="both"/>
        <w:outlineLvl w:val="0"/>
        <w:rPr>
          <w:rFonts w:ascii="Times New Roman" w:hAnsi="Times New Roman" w:cs="Times New Roman"/>
        </w:rPr>
      </w:pPr>
    </w:p>
    <w:p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rsidR="00D31C33" w:rsidRDefault="00D31C33" w:rsidP="00B178C0">
      <w:pPr>
        <w:spacing w:line="360" w:lineRule="auto"/>
        <w:ind w:firstLine="709"/>
        <w:jc w:val="both"/>
        <w:rPr>
          <w:rFonts w:ascii="Times New Roman" w:hAnsi="Times New Roman" w:cs="Times New Roman"/>
        </w:rPr>
      </w:pPr>
    </w:p>
    <w:p w:rsidR="00D31C33" w:rsidRDefault="00D31C33" w:rsidP="00B178C0">
      <w:pPr>
        <w:spacing w:line="360" w:lineRule="auto"/>
        <w:ind w:firstLine="709"/>
        <w:jc w:val="both"/>
        <w:rPr>
          <w:rFonts w:ascii="Times New Roman" w:hAnsi="Times New Roman" w:cs="Times New Roman"/>
        </w:rPr>
      </w:pPr>
    </w:p>
    <w:p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commentRangeEnd w:id="3"/>
      <w:r w:rsidRPr="00A826BE">
        <w:rPr>
          <w:rFonts w:ascii="Times New Roman" w:hAnsi="Times New Roman" w:cs="Times New Roman"/>
        </w:rPr>
        <w:commentReference w:id="3"/>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Недостоверной признается реклама, которая содержит не соответствующие действительности сведения:</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побуждение несовершеннолетних к тому, чтобы они убедили родителей или других лиц приобрести рекламируемый товар;</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rsidR="00A826BE" w:rsidRPr="00142102" w:rsidRDefault="00A826BE" w:rsidP="00A826BE">
      <w:pPr>
        <w:rPr>
          <w:rFonts w:cs="Times New Roman"/>
          <w:sz w:val="22"/>
          <w:szCs w:val="22"/>
        </w:rPr>
      </w:pPr>
    </w:p>
    <w:p w:rsidR="00A826BE" w:rsidRDefault="00A826BE" w:rsidP="00A826BE">
      <w:pPr>
        <w:rPr>
          <w:rFonts w:cs="Times New Roman"/>
          <w:sz w:val="22"/>
          <w:szCs w:val="22"/>
        </w:rPr>
      </w:pPr>
    </w:p>
    <w:p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rsidR="00A24329" w:rsidRDefault="00A24329" w:rsidP="00A24329">
      <w:pPr>
        <w:spacing w:line="360" w:lineRule="auto"/>
        <w:ind w:firstLine="709"/>
        <w:jc w:val="center"/>
        <w:outlineLvl w:val="0"/>
        <w:rPr>
          <w:rFonts w:ascii="Times New Roman" w:hAnsi="Times New Roman" w:cs="Times New Roman"/>
          <w:i/>
        </w:rPr>
      </w:pPr>
    </w:p>
    <w:p w:rsidR="00A24329" w:rsidRDefault="00A24329" w:rsidP="00A24329">
      <w:pPr>
        <w:spacing w:line="360" w:lineRule="auto"/>
        <w:ind w:firstLine="709"/>
        <w:jc w:val="center"/>
        <w:outlineLvl w:val="0"/>
        <w:rPr>
          <w:rFonts w:ascii="Times New Roman" w:hAnsi="Times New Roman" w:cs="Times New Roman"/>
          <w:i/>
        </w:rPr>
      </w:pPr>
    </w:p>
    <w:p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неприкосновенность произведения;</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rsidR="00E90EBE" w:rsidRDefault="00E90EBE" w:rsidP="00A24329">
      <w:pPr>
        <w:spacing w:line="360" w:lineRule="auto"/>
        <w:jc w:val="both"/>
        <w:outlineLvl w:val="0"/>
        <w:rPr>
          <w:rFonts w:ascii="Times New Roman" w:hAnsi="Times New Roman" w:cs="Times New Roman"/>
        </w:rPr>
      </w:pPr>
    </w:p>
    <w:p w:rsidR="00E90EBE" w:rsidRDefault="00E90EBE" w:rsidP="00B178C0">
      <w:pPr>
        <w:spacing w:line="360" w:lineRule="auto"/>
        <w:ind w:firstLine="709"/>
        <w:jc w:val="both"/>
        <w:outlineLvl w:val="0"/>
        <w:rPr>
          <w:rFonts w:ascii="Times New Roman" w:hAnsi="Times New Roman" w:cs="Times New Roman"/>
        </w:rPr>
      </w:pPr>
    </w:p>
    <w:p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кодирование;</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некоторый коммерческий характер. В дальнейшем стали шифроваться тексты медицинского характера, купли-продажи скота и недвижимости.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rsidR="00A24329" w:rsidRDefault="00A24329" w:rsidP="00B178C0">
      <w:pPr>
        <w:spacing w:line="360" w:lineRule="auto"/>
        <w:ind w:firstLine="709"/>
        <w:jc w:val="both"/>
        <w:rPr>
          <w:rFonts w:ascii="Times New Roman" w:hAnsi="Times New Roman" w:cs="Times New Roman"/>
        </w:rPr>
      </w:pPr>
    </w:p>
    <w:p w:rsidR="00A24329"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sidRPr="00F50A10">
        <w:rPr>
          <w:rFonts w:ascii="Times New Roman" w:hAnsi="Times New Roman" w:cs="Times New Roman"/>
        </w:rPr>
        <w:t>-</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sidRPr="00F50A10">
        <w:rPr>
          <w:rFonts w:ascii="Times New Roman" w:hAnsi="Times New Roman" w:cs="Times New Roman"/>
        </w:rPr>
        <w:t>-</w:t>
      </w:r>
      <w:r>
        <w:rPr>
          <w:rFonts w:ascii="Times New Roman" w:hAnsi="Times New Roman" w:cs="Times New Roman"/>
        </w:rPr>
        <w:t>кода.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p>
    <w:p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Verified by Visa, </w:t>
      </w:r>
      <w:r w:rsidR="00B178C0" w:rsidRPr="00455B2F">
        <w:rPr>
          <w:rFonts w:ascii="Times New Roman" w:hAnsi="Times New Roman" w:cs="Times New Roman"/>
        </w:rPr>
        <w:t>MasterCard SecureCode</w:t>
      </w:r>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https</w:t>
      </w:r>
      <w:r>
        <w:rPr>
          <w:rFonts w:ascii="Times New Roman" w:hAnsi="Times New Roman" w:cs="Times New Roman"/>
        </w:rPr>
        <w:t>.</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rsidR="00A24329" w:rsidRDefault="00A24329" w:rsidP="00B178C0">
      <w:pPr>
        <w:spacing w:line="360" w:lineRule="auto"/>
        <w:ind w:firstLine="709"/>
        <w:jc w:val="both"/>
        <w:outlineLvl w:val="0"/>
        <w:rPr>
          <w:rFonts w:ascii="Times New Roman" w:hAnsi="Times New Roman" w:cs="Times New Roman"/>
        </w:rPr>
      </w:pPr>
    </w:p>
    <w:p w:rsidR="00A24329" w:rsidRDefault="00A24329" w:rsidP="00B178C0">
      <w:pPr>
        <w:spacing w:line="360" w:lineRule="auto"/>
        <w:ind w:firstLine="709"/>
        <w:jc w:val="both"/>
        <w:outlineLvl w:val="0"/>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сайт или сервис не соответствует вышеуказанным требованиям, то лучше исключить возможность покупки на нем.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сайта уполномоченного органа в сети "Интернет", на котором может быть осуществлена проверка покупки;</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отправить СМС, которые активируют платные услуги;</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Внимательно проверять доменное имя сайта и особенно доменные имена сайтов, на которых вводятся учетные данные.</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rsidR="00A24329" w:rsidRDefault="00A24329" w:rsidP="00B178C0">
      <w:pPr>
        <w:spacing w:line="360" w:lineRule="auto"/>
        <w:ind w:firstLine="709"/>
        <w:jc w:val="both"/>
        <w:outlineLvl w:val="0"/>
        <w:rPr>
          <w:rFonts w:ascii="Times New Roman" w:hAnsi="Times New Roman" w:cs="Times New Roman"/>
        </w:rPr>
      </w:pPr>
    </w:p>
    <w:p w:rsidR="00A24329" w:rsidRDefault="00A24329" w:rsidP="00B178C0">
      <w:pPr>
        <w:spacing w:line="360" w:lineRule="auto"/>
        <w:ind w:firstLine="709"/>
        <w:jc w:val="both"/>
        <w:outlineLvl w:val="0"/>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Пользовательское соглашение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страхового свидетельства обязательного пенсионного страхования (СНИЛС);</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Также возможно получить ЕСИА можно сразу в ближайшем отделении МФЦ.</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rsidR="00D337C2" w:rsidRDefault="00D337C2" w:rsidP="00B178C0">
      <w:pPr>
        <w:spacing w:line="360" w:lineRule="auto"/>
        <w:ind w:firstLine="709"/>
        <w:jc w:val="both"/>
        <w:rPr>
          <w:rFonts w:ascii="Times New Roman" w:hAnsi="Times New Roman" w:cs="Times New Roman"/>
        </w:rPr>
      </w:pPr>
    </w:p>
    <w:p w:rsidR="00D337C2" w:rsidRDefault="00D337C2" w:rsidP="00B178C0">
      <w:pPr>
        <w:spacing w:line="360" w:lineRule="auto"/>
        <w:ind w:firstLine="709"/>
        <w:jc w:val="both"/>
        <w:rPr>
          <w:rFonts w:ascii="Times New Roman" w:hAnsi="Times New Roman" w:cs="Times New Roman"/>
        </w:rPr>
      </w:pPr>
    </w:p>
    <w:p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пыльном месте, около батареи или на солнце, что может быстро перевести к перегреву и запылению</w:t>
      </w:r>
    </w:p>
    <w:p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Часто при посещении различных сайтов можно увидеть «Наш сайт использует файлы cookie».</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браузеров позволяет отключать куки, однако, изначально они включены.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Настройки браузеров имеют разные период хранения куки:</w:t>
      </w:r>
    </w:p>
    <w:p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каждый раз, когда сайт будет присылать куки, браузер будет спрашивать, сохранять ли их.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Кратко остановимся на безопасности линий связи, а именно на беспроводной связи, которую мы привычно называем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rsidR="00B178C0" w:rsidRP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домашней сети Wi-Fi необходимо использовать надежные пароли и регулярно менять пароль.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p>
    <w:p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операционные системы любых персональных устройств: компьютер, смартфон, планшет и.д.</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&lt;&gt; / ?).</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в браузере отключить автоподстановку и сохранение паролей;</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клавиатуру лучше размещать на несколько сантиметров ниже уровня обычного письменного стола;</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rsidR="006A0D6A" w:rsidRDefault="006A0D6A" w:rsidP="006A0D6A">
      <w:pPr>
        <w:spacing w:line="360" w:lineRule="auto"/>
        <w:jc w:val="both"/>
        <w:outlineLvl w:val="0"/>
        <w:rPr>
          <w:rFonts w:ascii="Times New Roman" w:hAnsi="Times New Roman" w:cs="Times New Roman"/>
        </w:rPr>
      </w:pPr>
    </w:p>
    <w:p w:rsidR="006A0D6A" w:rsidRDefault="006A0D6A" w:rsidP="006A0D6A">
      <w:pPr>
        <w:spacing w:line="360" w:lineRule="auto"/>
        <w:jc w:val="both"/>
        <w:outlineLvl w:val="0"/>
        <w:rPr>
          <w:rFonts w:ascii="Times New Roman" w:hAnsi="Times New Roman" w:cs="Times New Roman"/>
        </w:rPr>
      </w:pPr>
    </w:p>
    <w:p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Загрузочные вирусы – это вирусы, поражающие загрузочные сектора дисков.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открытие файлов на съемных носителях (компакт-диски, флешки и т.д.)</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rsidR="00B178C0" w:rsidRP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Замедление работы устройства или некоторых программ;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rsidR="006A0D6A" w:rsidRDefault="006A0D6A" w:rsidP="00B178C0">
      <w:pPr>
        <w:spacing w:line="360" w:lineRule="auto"/>
        <w:ind w:firstLine="709"/>
        <w:jc w:val="both"/>
        <w:rPr>
          <w:rFonts w:ascii="Times New Roman" w:hAnsi="Times New Roman" w:cs="Times New Roman"/>
        </w:rPr>
      </w:pPr>
    </w:p>
    <w:p w:rsidR="006A0D6A"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Сетевой этикет. Кибербуллинг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выделяют следующие виды кибербуллинга:</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Чтобы противостоять кибербуллингу, необходимо следовать ряду правил.</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пользователь стал свидетелем кибербуллинга, то ему необходимо:</w:t>
      </w:r>
    </w:p>
    <w:p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Эмоциональное комментирование, представление происходящего.</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авторизацию через защищенное соединение https;</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возможность привязать к аккаунту номер мобильного телефона;</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добавленные видео и фотографии и список групп и страниц, на которые подписан пользователь.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rsidR="006A0D6A" w:rsidRDefault="006A0D6A" w:rsidP="00B178C0">
      <w:pPr>
        <w:spacing w:line="360" w:lineRule="auto"/>
        <w:ind w:firstLine="709"/>
        <w:jc w:val="both"/>
        <w:outlineLvl w:val="0"/>
        <w:rPr>
          <w:rFonts w:ascii="Times New Roman" w:hAnsi="Times New Roman" w:cs="Times New Roman"/>
        </w:rPr>
      </w:pPr>
    </w:p>
    <w:p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Научите детей не загружать файлы, программы или музыку без вашего согласия.</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A0D6A" w:rsidRDefault="006A0D6A" w:rsidP="00B178C0">
      <w:pPr>
        <w:spacing w:line="360" w:lineRule="auto"/>
        <w:ind w:firstLine="709"/>
        <w:jc w:val="both"/>
        <w:outlineLvl w:val="0"/>
        <w:rPr>
          <w:rFonts w:ascii="Times New Roman" w:hAnsi="Times New Roman" w:cs="Times New Roman"/>
        </w:rPr>
      </w:pPr>
    </w:p>
    <w:p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Позволяйте детям заходить только на сайты из "белого" списка, который создайте вместе с ними.</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6A0D6A" w:rsidRDefault="006A0D6A" w:rsidP="00B178C0">
      <w:pPr>
        <w:spacing w:line="360" w:lineRule="auto"/>
        <w:ind w:firstLine="709"/>
        <w:jc w:val="both"/>
        <w:outlineLvl w:val="0"/>
        <w:rPr>
          <w:rFonts w:ascii="Times New Roman" w:hAnsi="Times New Roman" w:cs="Times New Roman"/>
        </w:rPr>
      </w:pPr>
    </w:p>
    <w:p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себя знакомиться с сайтами, которые посещают подростки.</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178C0" w:rsidRDefault="00B178C0" w:rsidP="00B178C0">
      <w:pPr>
        <w:spacing w:line="360" w:lineRule="auto"/>
        <w:ind w:firstLine="709"/>
        <w:jc w:val="both"/>
        <w:rPr>
          <w:rFonts w:ascii="Times New Roman" w:hAnsi="Times New Roman" w:cs="Times New Roman"/>
        </w:rPr>
      </w:pPr>
    </w:p>
    <w:p w:rsidR="006B7331" w:rsidRPr="00B178C0" w:rsidRDefault="006B7331" w:rsidP="00B178C0">
      <w:pPr>
        <w:spacing w:line="360" w:lineRule="auto"/>
        <w:ind w:firstLine="709"/>
        <w:jc w:val="both"/>
        <w:rPr>
          <w:rFonts w:ascii="Times New Roman" w:hAnsi="Times New Roman" w:cs="Times New Roman"/>
        </w:rPr>
      </w:pPr>
    </w:p>
    <w:p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rsidR="00B178C0" w:rsidRDefault="00B178C0" w:rsidP="00B178C0">
      <w:pPr>
        <w:spacing w:line="360" w:lineRule="auto"/>
        <w:ind w:firstLine="709"/>
        <w:jc w:val="both"/>
        <w:rPr>
          <w:rFonts w:ascii="Times New Roman" w:hAnsi="Times New Roman" w:cs="Times New Roman"/>
        </w:rPr>
      </w:pPr>
    </w:p>
    <w:p w:rsidR="00506A8E" w:rsidRPr="006B7331" w:rsidRDefault="00506A8E" w:rsidP="00B178C0">
      <w:pPr>
        <w:spacing w:line="360" w:lineRule="auto"/>
        <w:ind w:firstLine="709"/>
        <w:jc w:val="both"/>
        <w:rPr>
          <w:rFonts w:ascii="Times New Roman" w:hAnsi="Times New Roman" w:cs="Times New Roman"/>
        </w:rPr>
      </w:pPr>
    </w:p>
    <w:p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тематической внеурочной деятельности и дополнительного образования;</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rsidR="00B178C0" w:rsidRDefault="00B178C0" w:rsidP="00B178C0">
      <w:pPr>
        <w:spacing w:line="360" w:lineRule="auto"/>
        <w:ind w:firstLine="709"/>
        <w:jc w:val="both"/>
        <w:rPr>
          <w:rFonts w:ascii="Times New Roman" w:hAnsi="Times New Roman" w:cs="Times New Roman"/>
        </w:rPr>
      </w:pPr>
    </w:p>
    <w:p w:rsidR="00506A8E" w:rsidRDefault="00506A8E" w:rsidP="00B178C0">
      <w:pPr>
        <w:spacing w:line="360" w:lineRule="auto"/>
        <w:ind w:firstLine="709"/>
        <w:jc w:val="both"/>
        <w:rPr>
          <w:rFonts w:ascii="Times New Roman" w:hAnsi="Times New Roman" w:cs="Times New Roman"/>
        </w:rPr>
      </w:pPr>
    </w:p>
    <w:p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rsidR="00B178C0" w:rsidRDefault="00B178C0" w:rsidP="00B178C0">
      <w:pPr>
        <w:spacing w:line="360" w:lineRule="auto"/>
        <w:ind w:firstLine="709"/>
        <w:jc w:val="both"/>
        <w:rPr>
          <w:rFonts w:ascii="Times New Roman" w:hAnsi="Times New Roman" w:cs="Times New Roman"/>
        </w:rPr>
      </w:pPr>
    </w:p>
    <w:p w:rsidR="00506A8E" w:rsidRPr="00B178C0" w:rsidRDefault="00506A8E" w:rsidP="00B178C0">
      <w:pPr>
        <w:spacing w:line="360" w:lineRule="auto"/>
        <w:ind w:firstLine="709"/>
        <w:jc w:val="both"/>
        <w:rPr>
          <w:rFonts w:ascii="Times New Roman" w:hAnsi="Times New Roman" w:cs="Times New Roman"/>
        </w:rPr>
      </w:pPr>
    </w:p>
    <w:p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rsidR="00506A8E" w:rsidRDefault="00506A8E" w:rsidP="00B178C0">
      <w:pPr>
        <w:spacing w:line="360" w:lineRule="auto"/>
        <w:ind w:firstLine="709"/>
        <w:jc w:val="both"/>
        <w:rPr>
          <w:rFonts w:ascii="Times New Roman" w:hAnsi="Times New Roman" w:cs="Times New Roman"/>
        </w:rPr>
      </w:pPr>
    </w:p>
    <w:p w:rsidR="00506A8E" w:rsidRDefault="00506A8E" w:rsidP="00B178C0">
      <w:pPr>
        <w:spacing w:line="360" w:lineRule="auto"/>
        <w:ind w:firstLine="709"/>
        <w:jc w:val="both"/>
        <w:rPr>
          <w:rFonts w:ascii="Times New Roman" w:hAnsi="Times New Roman" w:cs="Times New Roman"/>
        </w:rPr>
      </w:pPr>
    </w:p>
    <w:p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7F2FC4" w:rsidRDefault="007F2FC4" w:rsidP="00506A8E">
      <w:pPr>
        <w:spacing w:line="360" w:lineRule="auto"/>
        <w:jc w:val="center"/>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учебно-методического и информационного сопровождения образовательного процесса образовательные организации:</w:t>
      </w:r>
    </w:p>
    <w:p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p>
    <w:p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7F2FC4" w:rsidRDefault="007F2FC4" w:rsidP="00506A8E">
      <w:pPr>
        <w:spacing w:line="360" w:lineRule="auto"/>
        <w:jc w:val="center"/>
        <w:rPr>
          <w:rFonts w:ascii="Times New Roman" w:hAnsi="Times New Roman" w:cs="Times New Roman"/>
          <w:b/>
        </w:rPr>
      </w:pP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rsid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p>
    <w:p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A10250">
        <w:rPr>
          <w:rFonts w:ascii="Times New Roman" w:hAnsi="Times New Roman" w:cs="Times New Roman"/>
          <w:b/>
        </w:rPr>
        <w:t>и рекомендуемые сайты в сети «Интернет»</w:t>
      </w:r>
    </w:p>
    <w:p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https://sledcom.ru;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rsidR="00A10250" w:rsidRPr="00A10250" w:rsidRDefault="00A10250" w:rsidP="00A10250">
      <w:pPr>
        <w:spacing w:line="360" w:lineRule="auto"/>
        <w:ind w:firstLine="709"/>
        <w:jc w:val="both"/>
        <w:rPr>
          <w:rFonts w:ascii="Times New Roman" w:hAnsi="Times New Roman" w:cs="Times New Roman"/>
        </w:rPr>
      </w:pPr>
    </w:p>
    <w:p w:rsidR="0089253C" w:rsidRPr="00506A8E" w:rsidRDefault="0089253C" w:rsidP="00506A8E">
      <w:pPr>
        <w:spacing w:line="360" w:lineRule="auto"/>
        <w:ind w:firstLine="709"/>
        <w:jc w:val="both"/>
        <w:rPr>
          <w:rFonts w:ascii="Times New Roman" w:hAnsi="Times New Roman" w:cs="Times New Roman"/>
        </w:rPr>
      </w:pPr>
    </w:p>
    <w:p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8"/>
      <w:footerReference w:type="default" r:id="rId9"/>
      <w:pgSz w:w="11900" w:h="16840"/>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Пользователь" w:date="2018-11-15T17:20:00Z" w:initials="П">
    <w:p w:rsidR="007F2FC4" w:rsidRDefault="007F2FC4" w:rsidP="005D000F">
      <w:pPr>
        <w:pStyle w:val="a8"/>
      </w:pPr>
      <w:r>
        <w:rPr>
          <w:rStyle w:val="a7"/>
        </w:rPr>
        <w:annotationRef/>
      </w:r>
      <w:r>
        <w:t>Необходима точка</w:t>
      </w:r>
    </w:p>
  </w:comment>
  <w:comment w:id="2" w:author="Пользователь" w:date="2018-11-15T17:41:00Z" w:initials="П">
    <w:p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5FF" w:rsidRDefault="009545FF" w:rsidP="00CF7469">
      <w:r>
        <w:separator/>
      </w:r>
    </w:p>
  </w:endnote>
  <w:endnote w:type="continuationSeparator" w:id="1">
    <w:p w:rsidR="009545FF" w:rsidRDefault="009545FF" w:rsidP="00CF7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69" w:rsidRDefault="00140F59" w:rsidP="003961BB">
    <w:pPr>
      <w:pStyle w:val="af0"/>
      <w:framePr w:wrap="none" w:vAnchor="text" w:hAnchor="margin" w:xAlign="center" w:y="1"/>
      <w:rPr>
        <w:rStyle w:val="af2"/>
      </w:rPr>
    </w:pPr>
    <w:r>
      <w:rPr>
        <w:rStyle w:val="af2"/>
      </w:rPr>
      <w:fldChar w:fldCharType="begin"/>
    </w:r>
    <w:r w:rsidR="00CF7469">
      <w:rPr>
        <w:rStyle w:val="af2"/>
      </w:rPr>
      <w:instrText xml:space="preserve">PAGE  </w:instrText>
    </w:r>
    <w:r>
      <w:rPr>
        <w:rStyle w:val="af2"/>
      </w:rPr>
      <w:fldChar w:fldCharType="end"/>
    </w:r>
  </w:p>
  <w:p w:rsidR="00CF7469" w:rsidRDefault="00CF746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69" w:rsidRPr="00CF7469" w:rsidRDefault="00140F5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00CF7469"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9545FF">
      <w:rPr>
        <w:rStyle w:val="af2"/>
        <w:rFonts w:ascii="Times New Roman" w:hAnsi="Times New Roman" w:cs="Times New Roman"/>
        <w:noProof/>
      </w:rPr>
      <w:t>1</w:t>
    </w:r>
    <w:r w:rsidRPr="00CF7469">
      <w:rPr>
        <w:rStyle w:val="af2"/>
        <w:rFonts w:ascii="Times New Roman" w:hAnsi="Times New Roman" w:cs="Times New Roman"/>
      </w:rPr>
      <w:fldChar w:fldCharType="end"/>
    </w:r>
  </w:p>
  <w:p w:rsidR="00CF7469" w:rsidRPr="00CF7469" w:rsidRDefault="00CF7469">
    <w:pPr>
      <w:pStyle w:val="af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5FF" w:rsidRDefault="009545FF" w:rsidP="00CF7469">
      <w:r>
        <w:separator/>
      </w:r>
    </w:p>
  </w:footnote>
  <w:footnote w:type="continuationSeparator" w:id="1">
    <w:p w:rsidR="009545FF" w:rsidRDefault="009545FF" w:rsidP="00CF7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defaultTabStop w:val="708"/>
  <w:characterSpacingControl w:val="doNotCompress"/>
  <w:savePreviewPicture/>
  <w:footnotePr>
    <w:footnote w:id="0"/>
    <w:footnote w:id="1"/>
  </w:footnotePr>
  <w:endnotePr>
    <w:endnote w:id="0"/>
    <w:endnote w:id="1"/>
  </w:endnotePr>
  <w:compat>
    <w:useFELayout/>
  </w:compat>
  <w:rsids>
    <w:rsidRoot w:val="00B178C0"/>
    <w:rsid w:val="000E50CF"/>
    <w:rsid w:val="00140F59"/>
    <w:rsid w:val="00265F17"/>
    <w:rsid w:val="002E2752"/>
    <w:rsid w:val="004000C0"/>
    <w:rsid w:val="00455B2F"/>
    <w:rsid w:val="00506A8E"/>
    <w:rsid w:val="00571665"/>
    <w:rsid w:val="005D000F"/>
    <w:rsid w:val="006A0D6A"/>
    <w:rsid w:val="006B6EC9"/>
    <w:rsid w:val="006B7331"/>
    <w:rsid w:val="007B174B"/>
    <w:rsid w:val="007F2FC4"/>
    <w:rsid w:val="008372AC"/>
    <w:rsid w:val="00840C71"/>
    <w:rsid w:val="00840F0F"/>
    <w:rsid w:val="00887775"/>
    <w:rsid w:val="0089253C"/>
    <w:rsid w:val="009545FF"/>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90EBE"/>
    <w:rsid w:val="00ED7F9A"/>
    <w:rsid w:val="00F50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r="http://schemas.openxmlformats.org/officeDocument/2006/relationships" xmlns:w="http://schemas.openxmlformats.org/wordprocessingml/2006/main">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117</Pages>
  <Words>35943</Words>
  <Characters>204881</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KZV</cp:lastModifiedBy>
  <cp:revision>2</cp:revision>
  <dcterms:created xsi:type="dcterms:W3CDTF">2019-10-24T12:20:00Z</dcterms:created>
  <dcterms:modified xsi:type="dcterms:W3CDTF">2019-10-24T12:20:00Z</dcterms:modified>
</cp:coreProperties>
</file>